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141" w:rsidRPr="00C6533B" w:rsidRDefault="00A87141" w:rsidP="00A87141">
      <w:pPr>
        <w:keepNext/>
        <w:shd w:val="clear" w:color="auto" w:fill="FFFFFF" w:themeFill="background1"/>
        <w:jc w:val="center"/>
        <w:outlineLvl w:val="0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Р А С П И С А Н И Е</w:t>
      </w:r>
    </w:p>
    <w:p w:rsidR="00A87141" w:rsidRPr="00C6533B" w:rsidRDefault="00A87141" w:rsidP="00A87141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 xml:space="preserve">занятий на </w:t>
      </w:r>
      <w:r w:rsidRPr="00C6533B">
        <w:rPr>
          <w:bCs/>
          <w:sz w:val="13"/>
          <w:szCs w:val="13"/>
          <w:lang w:val="en-US"/>
        </w:rPr>
        <w:t>I</w:t>
      </w:r>
      <w:r w:rsidRPr="00C6533B">
        <w:rPr>
          <w:bCs/>
          <w:sz w:val="13"/>
          <w:szCs w:val="13"/>
        </w:rPr>
        <w:t xml:space="preserve"> семестр 2020-2021 учебного года</w:t>
      </w:r>
    </w:p>
    <w:p w:rsidR="00A87141" w:rsidRPr="00C6533B" w:rsidRDefault="00A87141" w:rsidP="00A87141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очной формы обучения юридического факультета</w:t>
      </w:r>
    </w:p>
    <w:p w:rsidR="00A87141" w:rsidRPr="00C6533B" w:rsidRDefault="00A87141" w:rsidP="00A87141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 xml:space="preserve">ФГАОУ ВО «Северо-Восточный федеральный университет имени М.К. </w:t>
      </w:r>
      <w:proofErr w:type="spellStart"/>
      <w:r w:rsidRPr="00C6533B">
        <w:rPr>
          <w:bCs/>
          <w:sz w:val="13"/>
          <w:szCs w:val="13"/>
        </w:rPr>
        <w:t>Аммосова</w:t>
      </w:r>
      <w:proofErr w:type="spellEnd"/>
      <w:r w:rsidRPr="00C6533B">
        <w:rPr>
          <w:bCs/>
          <w:sz w:val="13"/>
          <w:szCs w:val="13"/>
        </w:rPr>
        <w:t>»</w:t>
      </w:r>
    </w:p>
    <w:p w:rsidR="00A87141" w:rsidRPr="00C6533B" w:rsidRDefault="00A87141" w:rsidP="00A87141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4 курс ЮФ – 17– 4с (правовое обеспечение правоохранительной деятельности)</w:t>
      </w:r>
    </w:p>
    <w:tbl>
      <w:tblPr>
        <w:tblW w:w="11066" w:type="dxa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14"/>
        <w:gridCol w:w="8446"/>
        <w:gridCol w:w="956"/>
        <w:gridCol w:w="16"/>
      </w:tblGrid>
      <w:tr w:rsidR="00A87141" w:rsidRPr="00C6533B" w:rsidTr="00A87141">
        <w:trPr>
          <w:trHeight w:val="180"/>
        </w:trPr>
        <w:tc>
          <w:tcPr>
            <w:tcW w:w="534" w:type="dxa"/>
            <w:vMerge w:val="restart"/>
          </w:tcPr>
          <w:p w:rsidR="00A87141" w:rsidRPr="00C6533B" w:rsidRDefault="00A87141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Дни</w:t>
            </w:r>
          </w:p>
        </w:tc>
        <w:tc>
          <w:tcPr>
            <w:tcW w:w="1114" w:type="dxa"/>
            <w:vMerge w:val="restart"/>
          </w:tcPr>
          <w:p w:rsidR="00A87141" w:rsidRPr="00C6533B" w:rsidRDefault="00A87141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Часы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Дисциплина</w:t>
            </w:r>
          </w:p>
        </w:tc>
        <w:tc>
          <w:tcPr>
            <w:tcW w:w="972" w:type="dxa"/>
            <w:gridSpan w:val="2"/>
            <w:vMerge w:val="restart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Ауд.</w:t>
            </w:r>
          </w:p>
        </w:tc>
      </w:tr>
      <w:tr w:rsidR="00A87141" w:rsidRPr="00C6533B" w:rsidTr="00A87141">
        <w:trPr>
          <w:trHeight w:val="135"/>
        </w:trPr>
        <w:tc>
          <w:tcPr>
            <w:tcW w:w="534" w:type="dxa"/>
            <w:vMerge/>
          </w:tcPr>
          <w:p w:rsidR="00A87141" w:rsidRPr="00C6533B" w:rsidRDefault="00A87141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</w:p>
        </w:tc>
        <w:tc>
          <w:tcPr>
            <w:tcW w:w="1114" w:type="dxa"/>
            <w:vMerge/>
          </w:tcPr>
          <w:p w:rsidR="00A87141" w:rsidRPr="00C6533B" w:rsidRDefault="00A87141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</w:p>
        </w:tc>
        <w:tc>
          <w:tcPr>
            <w:tcW w:w="8446" w:type="dxa"/>
          </w:tcPr>
          <w:p w:rsidR="00A87141" w:rsidRPr="00C6533B" w:rsidRDefault="00A87141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</w:p>
        </w:tc>
        <w:tc>
          <w:tcPr>
            <w:tcW w:w="972" w:type="dxa"/>
            <w:gridSpan w:val="2"/>
            <w:vMerge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A87141" w:rsidRPr="00C6533B" w:rsidTr="00A87141">
        <w:tc>
          <w:tcPr>
            <w:tcW w:w="534" w:type="dxa"/>
          </w:tcPr>
          <w:p w:rsidR="00A87141" w:rsidRPr="00C6533B" w:rsidRDefault="00A87141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Пн.</w:t>
            </w:r>
          </w:p>
        </w:tc>
        <w:tc>
          <w:tcPr>
            <w:tcW w:w="1114" w:type="dxa"/>
          </w:tcPr>
          <w:p w:rsidR="00A87141" w:rsidRPr="00C6533B" w:rsidRDefault="00A87141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11.40-13.10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shd w:val="clear" w:color="auto" w:fill="FFFFFF" w:themeFill="background1"/>
              <w:ind w:left="-69" w:right="-142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72" w:type="dxa"/>
            <w:gridSpan w:val="2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A87141" w:rsidRPr="00C6533B" w:rsidTr="00A87141">
        <w:trPr>
          <w:cantSplit/>
          <w:trHeight w:val="205"/>
        </w:trPr>
        <w:tc>
          <w:tcPr>
            <w:tcW w:w="534" w:type="dxa"/>
            <w:vMerge w:val="restart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Вт.</w:t>
            </w:r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 –11.20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Практикум по квалификации правонарушений Ефимова М.П.</w:t>
            </w:r>
          </w:p>
        </w:tc>
        <w:tc>
          <w:tcPr>
            <w:tcW w:w="972" w:type="dxa"/>
            <w:gridSpan w:val="2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357а</w:t>
            </w:r>
          </w:p>
        </w:tc>
      </w:tr>
      <w:tr w:rsidR="00A87141" w:rsidRPr="00C6533B" w:rsidTr="00A87141">
        <w:trPr>
          <w:cantSplit/>
          <w:trHeight w:val="228"/>
        </w:trPr>
        <w:tc>
          <w:tcPr>
            <w:tcW w:w="534" w:type="dxa"/>
            <w:vMerge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72" w:type="dxa"/>
            <w:gridSpan w:val="2"/>
          </w:tcPr>
          <w:p w:rsidR="00A87141" w:rsidRPr="00C6533B" w:rsidRDefault="00A87141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 w:rsidR="00A87141" w:rsidRPr="00C6533B" w:rsidTr="00A87141">
        <w:trPr>
          <w:cantSplit/>
          <w:trHeight w:val="141"/>
        </w:trPr>
        <w:tc>
          <w:tcPr>
            <w:tcW w:w="534" w:type="dxa"/>
            <w:vMerge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Практикум по оформлению процессуальной документации Григорьева А.Е.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972" w:type="dxa"/>
            <w:gridSpan w:val="2"/>
          </w:tcPr>
          <w:p w:rsidR="00A87141" w:rsidRPr="00C6533B" w:rsidRDefault="00A87141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357а</w:t>
            </w:r>
          </w:p>
        </w:tc>
      </w:tr>
      <w:tr w:rsidR="00A87141" w:rsidRPr="00C6533B" w:rsidTr="00A87141">
        <w:trPr>
          <w:gridAfter w:val="1"/>
          <w:wAfter w:w="16" w:type="dxa"/>
          <w:cantSplit/>
          <w:trHeight w:val="165"/>
        </w:trPr>
        <w:tc>
          <w:tcPr>
            <w:tcW w:w="534" w:type="dxa"/>
            <w:vMerge w:val="restart"/>
          </w:tcPr>
          <w:p w:rsidR="00A87141" w:rsidRPr="00C6533B" w:rsidRDefault="00A87141" w:rsidP="00FC4C72">
            <w:pPr>
              <w:shd w:val="clear" w:color="auto" w:fill="FFFFFF" w:themeFill="background1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 xml:space="preserve"> Чт.</w:t>
            </w:r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 –11.20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56" w:type="dxa"/>
          </w:tcPr>
          <w:p w:rsidR="00A87141" w:rsidRPr="00C6533B" w:rsidRDefault="00A87141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</w:tr>
      <w:tr w:rsidR="00A87141" w:rsidRPr="00C6533B" w:rsidTr="00A87141">
        <w:trPr>
          <w:gridAfter w:val="1"/>
          <w:wAfter w:w="16" w:type="dxa"/>
          <w:cantSplit/>
          <w:trHeight w:val="142"/>
        </w:trPr>
        <w:tc>
          <w:tcPr>
            <w:tcW w:w="534" w:type="dxa"/>
            <w:vMerge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Теория и практика уголовного преследования Федоров Г.С.</w:t>
            </w:r>
          </w:p>
        </w:tc>
        <w:tc>
          <w:tcPr>
            <w:tcW w:w="956" w:type="dxa"/>
          </w:tcPr>
          <w:p w:rsidR="00A87141" w:rsidRPr="00C6533B" w:rsidRDefault="00A87141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357а</w:t>
            </w:r>
          </w:p>
        </w:tc>
      </w:tr>
      <w:tr w:rsidR="00A87141" w:rsidRPr="00C6533B" w:rsidTr="00A87141">
        <w:trPr>
          <w:gridAfter w:val="1"/>
          <w:wAfter w:w="16" w:type="dxa"/>
          <w:cantSplit/>
          <w:trHeight w:val="198"/>
        </w:trPr>
        <w:tc>
          <w:tcPr>
            <w:tcW w:w="534" w:type="dxa"/>
            <w:vMerge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Актуальные проблемы уголовного и уголовно-процессуального права Яковлев М.М.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956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357а</w:t>
            </w:r>
          </w:p>
        </w:tc>
      </w:tr>
      <w:tr w:rsidR="00A87141" w:rsidRPr="00C6533B" w:rsidTr="00A87141">
        <w:trPr>
          <w:gridAfter w:val="1"/>
          <w:wAfter w:w="16" w:type="dxa"/>
          <w:cantSplit/>
          <w:trHeight w:val="228"/>
        </w:trPr>
        <w:tc>
          <w:tcPr>
            <w:tcW w:w="534" w:type="dxa"/>
            <w:vMerge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15.50–17.20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4гр. Проблемы теории государства и права (лекция)</w:t>
            </w:r>
            <w:r w:rsidR="009021B1">
              <w:rPr>
                <w:bCs/>
                <w:sz w:val="13"/>
                <w:szCs w:val="13"/>
              </w:rPr>
              <w:t xml:space="preserve"> Иванов Б.В.</w:t>
            </w:r>
          </w:p>
        </w:tc>
        <w:tc>
          <w:tcPr>
            <w:tcW w:w="956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357а</w:t>
            </w:r>
          </w:p>
        </w:tc>
      </w:tr>
      <w:tr w:rsidR="00A87141" w:rsidRPr="00C6533B" w:rsidTr="00A87141">
        <w:trPr>
          <w:gridAfter w:val="1"/>
          <w:wAfter w:w="16" w:type="dxa"/>
          <w:cantSplit/>
          <w:trHeight w:val="240"/>
        </w:trPr>
        <w:tc>
          <w:tcPr>
            <w:tcW w:w="534" w:type="dxa"/>
            <w:vMerge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17.30-19.00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4гр. Проблемы теории государства и права (семинар)</w:t>
            </w:r>
            <w:r w:rsidR="009021B1">
              <w:rPr>
                <w:bCs/>
                <w:sz w:val="13"/>
                <w:szCs w:val="13"/>
              </w:rPr>
              <w:t xml:space="preserve"> </w:t>
            </w:r>
            <w:r w:rsidR="009021B1">
              <w:rPr>
                <w:bCs/>
                <w:sz w:val="13"/>
                <w:szCs w:val="13"/>
              </w:rPr>
              <w:t>Иванов Б.В.</w:t>
            </w:r>
          </w:p>
        </w:tc>
        <w:tc>
          <w:tcPr>
            <w:tcW w:w="956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357а</w:t>
            </w:r>
          </w:p>
        </w:tc>
      </w:tr>
      <w:tr w:rsidR="00A87141" w:rsidRPr="00C6533B" w:rsidTr="00A87141">
        <w:trPr>
          <w:cantSplit/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Пт.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72" w:type="dxa"/>
            <w:gridSpan w:val="2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A87141" w:rsidRPr="00C6533B" w:rsidTr="00A87141">
        <w:trPr>
          <w:cantSplit/>
          <w:trHeight w:val="120"/>
        </w:trPr>
        <w:tc>
          <w:tcPr>
            <w:tcW w:w="534" w:type="dxa"/>
            <w:vMerge w:val="restart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proofErr w:type="spellStart"/>
            <w:r w:rsidRPr="00C6533B">
              <w:rPr>
                <w:bCs/>
                <w:i/>
                <w:sz w:val="13"/>
                <w:szCs w:val="13"/>
              </w:rPr>
              <w:t>Сб</w:t>
            </w:r>
            <w:proofErr w:type="spellEnd"/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8.00-9.30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ind w:left="-90" w:right="-127" w:firstLine="7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72" w:type="dxa"/>
            <w:gridSpan w:val="2"/>
          </w:tcPr>
          <w:p w:rsidR="00A87141" w:rsidRPr="00C6533B" w:rsidRDefault="00A87141" w:rsidP="00FC4C72">
            <w:pPr>
              <w:tabs>
                <w:tab w:val="center" w:pos="404"/>
              </w:tabs>
              <w:jc w:val="center"/>
              <w:rPr>
                <w:bCs/>
                <w:sz w:val="13"/>
                <w:szCs w:val="13"/>
              </w:rPr>
            </w:pPr>
          </w:p>
        </w:tc>
      </w:tr>
      <w:tr w:rsidR="00A87141" w:rsidRPr="00C6533B" w:rsidTr="00A87141">
        <w:trPr>
          <w:cantSplit/>
          <w:trHeight w:val="195"/>
        </w:trPr>
        <w:tc>
          <w:tcPr>
            <w:tcW w:w="534" w:type="dxa"/>
            <w:vMerge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 –11.20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ind w:left="-90" w:right="-127" w:firstLine="7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72" w:type="dxa"/>
            <w:gridSpan w:val="2"/>
          </w:tcPr>
          <w:p w:rsidR="00A87141" w:rsidRPr="00C6533B" w:rsidRDefault="00A87141" w:rsidP="00FC4C72">
            <w:pPr>
              <w:tabs>
                <w:tab w:val="center" w:pos="404"/>
              </w:tabs>
              <w:jc w:val="center"/>
              <w:rPr>
                <w:bCs/>
                <w:sz w:val="13"/>
                <w:szCs w:val="13"/>
              </w:rPr>
            </w:pPr>
          </w:p>
        </w:tc>
      </w:tr>
      <w:tr w:rsidR="00A87141" w:rsidRPr="00C6533B" w:rsidTr="00A87141">
        <w:trPr>
          <w:cantSplit/>
          <w:trHeight w:val="255"/>
        </w:trPr>
        <w:tc>
          <w:tcPr>
            <w:tcW w:w="534" w:type="dxa"/>
            <w:vMerge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ind w:left="-90" w:right="-127" w:firstLine="7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Гражданский процесс (семинар) Ильина О.Ю.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972" w:type="dxa"/>
            <w:gridSpan w:val="2"/>
          </w:tcPr>
          <w:p w:rsidR="00A87141" w:rsidRPr="00C6533B" w:rsidRDefault="00A87141" w:rsidP="00FC4C72">
            <w:pPr>
              <w:tabs>
                <w:tab w:val="center" w:pos="404"/>
              </w:tabs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357а</w:t>
            </w:r>
          </w:p>
        </w:tc>
      </w:tr>
      <w:tr w:rsidR="00A87141" w:rsidRPr="00C6533B" w:rsidTr="00A87141">
        <w:trPr>
          <w:cantSplit/>
          <w:trHeight w:val="236"/>
        </w:trPr>
        <w:tc>
          <w:tcPr>
            <w:tcW w:w="534" w:type="dxa"/>
            <w:vMerge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A87141" w:rsidRPr="00C6533B" w:rsidRDefault="00A87141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8446" w:type="dxa"/>
          </w:tcPr>
          <w:p w:rsidR="00A87141" w:rsidRPr="00C6533B" w:rsidRDefault="00A87141" w:rsidP="00FC4C72">
            <w:pPr>
              <w:ind w:left="-90" w:right="-127" w:firstLine="7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гр. Гражданский процесс (лекция) Ильина О.Ю.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972" w:type="dxa"/>
            <w:gridSpan w:val="2"/>
          </w:tcPr>
          <w:p w:rsidR="00A87141" w:rsidRPr="001F7D84" w:rsidRDefault="00A87141" w:rsidP="00FC4C72">
            <w:pPr>
              <w:tabs>
                <w:tab w:val="center" w:pos="404"/>
              </w:tabs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357а</w:t>
            </w:r>
          </w:p>
        </w:tc>
      </w:tr>
    </w:tbl>
    <w:p w:rsidR="00A87141" w:rsidRDefault="00A87141"/>
    <w:sectPr w:rsidR="00A8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41"/>
    <w:rsid w:val="009021B1"/>
    <w:rsid w:val="00A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242AC"/>
  <w15:chartTrackingRefBased/>
  <w15:docId w15:val="{8A548579-1660-6A4C-8375-3923072E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4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938</Characters>
  <Application>Microsoft Office Word</Application>
  <DocSecurity>0</DocSecurity>
  <Lines>49</Lines>
  <Paragraphs>24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Yadreeva</dc:creator>
  <cp:keywords/>
  <dc:description/>
  <cp:lastModifiedBy>Yana Yadreeva</cp:lastModifiedBy>
  <cp:revision>2</cp:revision>
  <dcterms:created xsi:type="dcterms:W3CDTF">2020-09-02T11:11:00Z</dcterms:created>
  <dcterms:modified xsi:type="dcterms:W3CDTF">2020-09-07T05:14:00Z</dcterms:modified>
</cp:coreProperties>
</file>